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2B4" w:rsidRPr="001D22DD" w:rsidRDefault="00561E78" w:rsidP="000732B4">
      <w:pPr>
        <w:rPr>
          <w:rFonts w:ascii="Arial Black" w:hAnsi="Arial Black" w:cs="Arial"/>
          <w:b/>
          <w:bCs/>
          <w:color w:val="767171" w:themeColor="background2" w:themeShade="80"/>
          <w:sz w:val="32"/>
          <w:szCs w:val="32"/>
        </w:rPr>
      </w:pPr>
      <w:r w:rsidRPr="001D22DD">
        <w:rPr>
          <w:rFonts w:ascii="Arial Black" w:hAnsi="Arial Black" w:cs="Arial"/>
          <w:b/>
          <w:bCs/>
          <w:color w:val="767171" w:themeColor="background2" w:themeShade="80"/>
          <w:sz w:val="32"/>
          <w:szCs w:val="32"/>
        </w:rPr>
        <w:t>Aluminum Casting: Prototype Process Comparisons</w:t>
      </w:r>
    </w:p>
    <w:p w:rsidR="00460D3C" w:rsidRPr="001D22DD" w:rsidRDefault="00460D3C" w:rsidP="000732B4">
      <w:pPr>
        <w:rPr>
          <w:rFonts w:ascii="Arial Black" w:hAnsi="Arial Black" w:cs="Arial"/>
          <w:b/>
          <w:bCs/>
          <w:color w:val="767171" w:themeColor="background2" w:themeShade="80"/>
          <w:sz w:val="28"/>
          <w:szCs w:val="28"/>
        </w:rPr>
      </w:pPr>
      <w:r w:rsidRPr="001D22DD">
        <w:rPr>
          <w:rFonts w:ascii="Arial Black" w:hAnsi="Arial Black" w:cs="Arial"/>
          <w:b/>
          <w:bCs/>
          <w:color w:val="767171" w:themeColor="background2" w:themeShade="80"/>
          <w:sz w:val="28"/>
          <w:szCs w:val="28"/>
        </w:rPr>
        <w:t>Pentz Cast Solutions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970"/>
        <w:gridCol w:w="2250"/>
        <w:gridCol w:w="1800"/>
      </w:tblGrid>
      <w:tr w:rsidR="00167121" w:rsidRPr="00561E78" w:rsidTr="00282F40">
        <w:trPr>
          <w:trHeight w:val="512"/>
        </w:trPr>
        <w:tc>
          <w:tcPr>
            <w:tcW w:w="8995" w:type="dxa"/>
            <w:gridSpan w:val="4"/>
            <w:shd w:val="clear" w:color="auto" w:fill="AEAAAA" w:themeFill="background2" w:themeFillShade="BF"/>
          </w:tcPr>
          <w:p w:rsidR="00167121" w:rsidRPr="00282F40" w:rsidRDefault="00167121" w:rsidP="0016712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82F4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Aluminum Casting: Prototype Process Comparisons</w:t>
            </w:r>
          </w:p>
          <w:p w:rsidR="00167121" w:rsidRPr="00282F40" w:rsidRDefault="00167121" w:rsidP="00167121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60D3C" w:rsidRPr="00561E78" w:rsidTr="00561E78">
        <w:tc>
          <w:tcPr>
            <w:tcW w:w="1975" w:type="dxa"/>
          </w:tcPr>
          <w:p w:rsidR="00460D3C" w:rsidRPr="002848FE" w:rsidRDefault="00460D3C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Prototype </w:t>
            </w:r>
            <w:r w:rsidR="00561E78"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M</w:t>
            </w: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ethod</w:t>
            </w:r>
          </w:p>
        </w:tc>
        <w:tc>
          <w:tcPr>
            <w:tcW w:w="297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5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80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 Lead Time</w:t>
            </w:r>
          </w:p>
        </w:tc>
      </w:tr>
      <w:tr w:rsidR="00460D3C" w:rsidRPr="00561E78" w:rsidTr="00561E78">
        <w:tc>
          <w:tcPr>
            <w:tcW w:w="1975" w:type="dxa"/>
          </w:tcPr>
          <w:p w:rsidR="00460D3C" w:rsidRPr="00561E78" w:rsidRDefault="00460D3C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Rapid Tooling/Casting</w:t>
            </w:r>
          </w:p>
        </w:tc>
        <w:tc>
          <w:tcPr>
            <w:tcW w:w="297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>Utilizes rapid tooling made from</w:t>
            </w:r>
            <w:r w:rsidR="00ED61A5">
              <w:rPr>
                <w:rFonts w:ascii="Arial" w:hAnsi="Arial" w:cs="Arial"/>
                <w:sz w:val="20"/>
                <w:szCs w:val="20"/>
              </w:rPr>
              <w:t xml:space="preserve"> 3D Printed Molds &amp; Cores,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F66">
              <w:rPr>
                <w:rFonts w:ascii="Arial" w:hAnsi="Arial" w:cs="Arial"/>
                <w:sz w:val="20"/>
                <w:szCs w:val="20"/>
              </w:rPr>
              <w:t>C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NC Machine, SLA, prototyping methods to build patterns for sand cast molds.  The parts are molded using automated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precision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green sand molding process.  Highly accurate,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inexpensive,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and easy to modify through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iterative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design changes.</w:t>
            </w:r>
          </w:p>
        </w:tc>
        <w:tc>
          <w:tcPr>
            <w:tcW w:w="225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Excellent for almost any size or shape or part.  Since parts are cast form an actual aluminum </w:t>
            </w:r>
            <w:proofErr w:type="gramStart"/>
            <w:r w:rsidRPr="00561E78">
              <w:rPr>
                <w:rFonts w:ascii="Arial" w:hAnsi="Arial" w:cs="Arial"/>
                <w:sz w:val="20"/>
                <w:szCs w:val="20"/>
              </w:rPr>
              <w:t>alloy</w:t>
            </w:r>
            <w:proofErr w:type="gramEnd"/>
            <w:r w:rsidRPr="00561E78">
              <w:rPr>
                <w:rFonts w:ascii="Arial" w:hAnsi="Arial" w:cs="Arial"/>
                <w:sz w:val="20"/>
                <w:szCs w:val="20"/>
              </w:rPr>
              <w:t xml:space="preserve"> they are fully functional and can be used as prototypes or short rum production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parts</w:t>
            </w:r>
          </w:p>
        </w:tc>
        <w:tc>
          <w:tcPr>
            <w:tcW w:w="1800" w:type="dxa"/>
          </w:tcPr>
          <w:p w:rsidR="00460D3C" w:rsidRPr="00561E78" w:rsidRDefault="00073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0D3C" w:rsidRPr="00561E78">
              <w:rPr>
                <w:rFonts w:ascii="Arial" w:hAnsi="Arial" w:cs="Arial"/>
                <w:sz w:val="20"/>
                <w:szCs w:val="20"/>
              </w:rPr>
              <w:t xml:space="preserve"> days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0D3C" w:rsidRPr="00561E78">
              <w:rPr>
                <w:rFonts w:ascii="Arial" w:hAnsi="Arial" w:cs="Arial"/>
                <w:sz w:val="20"/>
                <w:szCs w:val="20"/>
              </w:rPr>
              <w:t xml:space="preserve"> 2 weeks</w:t>
            </w:r>
          </w:p>
        </w:tc>
      </w:tr>
      <w:tr w:rsidR="00460D3C" w:rsidRPr="00561E78" w:rsidTr="00561E78">
        <w:tc>
          <w:tcPr>
            <w:tcW w:w="1975" w:type="dxa"/>
          </w:tcPr>
          <w:p w:rsidR="00460D3C" w:rsidRPr="002848FE" w:rsidRDefault="00460D3C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SLA </w:t>
            </w:r>
          </w:p>
          <w:p w:rsidR="00460D3C" w:rsidRPr="00561E78" w:rsidRDefault="00561E7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Stereolithography</w:t>
            </w:r>
          </w:p>
        </w:tc>
        <w:tc>
          <w:tcPr>
            <w:tcW w:w="297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Utilizes UV laser to cure a thin layer of liquid plastic into a solid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model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of parts.  Highly accurate and creates excellent surface finish.</w:t>
            </w:r>
          </w:p>
        </w:tc>
        <w:tc>
          <w:tcPr>
            <w:tcW w:w="225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Excellent for complex or intricate shapes.  Ideal to test form and fit or for use as a visual aid.  It is also very good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for use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as a pattern for Rapid Tooling/Casting</w:t>
            </w:r>
          </w:p>
        </w:tc>
        <w:tc>
          <w:tcPr>
            <w:tcW w:w="1800" w:type="dxa"/>
          </w:tcPr>
          <w:p w:rsidR="00460D3C" w:rsidRPr="00561E78" w:rsidRDefault="00460D3C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B4">
              <w:rPr>
                <w:rFonts w:ascii="Arial" w:hAnsi="Arial" w:cs="Arial"/>
                <w:sz w:val="20"/>
                <w:szCs w:val="20"/>
              </w:rPr>
              <w:t>3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CB3">
              <w:rPr>
                <w:rFonts w:ascii="Arial" w:hAnsi="Arial" w:cs="Arial"/>
                <w:sz w:val="20"/>
                <w:szCs w:val="20"/>
              </w:rPr>
              <w:t>-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2B4">
              <w:rPr>
                <w:rFonts w:ascii="Arial" w:hAnsi="Arial" w:cs="Arial"/>
                <w:sz w:val="20"/>
                <w:szCs w:val="20"/>
              </w:rPr>
              <w:t>7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460D3C" w:rsidRPr="00561E78" w:rsidTr="00561E78">
        <w:tc>
          <w:tcPr>
            <w:tcW w:w="1975" w:type="dxa"/>
          </w:tcPr>
          <w:p w:rsidR="00460D3C" w:rsidRPr="00561E78" w:rsidRDefault="00273CB3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3D Printed Molds Cores</w:t>
            </w:r>
          </w:p>
        </w:tc>
        <w:tc>
          <w:tcPr>
            <w:tcW w:w="2970" w:type="dxa"/>
          </w:tcPr>
          <w:p w:rsidR="00460D3C" w:rsidRPr="00561E78" w:rsidRDefault="00284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Print molds &amp; cores from CAD designed parts to build aluminum castings</w:t>
            </w:r>
          </w:p>
        </w:tc>
        <w:tc>
          <w:tcPr>
            <w:tcW w:w="2250" w:type="dxa"/>
          </w:tcPr>
          <w:p w:rsidR="00460D3C" w:rsidRPr="00561E78" w:rsidRDefault="00284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off or low production aluminum casting prototypes or production parts</w:t>
            </w:r>
          </w:p>
        </w:tc>
        <w:tc>
          <w:tcPr>
            <w:tcW w:w="1800" w:type="dxa"/>
          </w:tcPr>
          <w:p w:rsidR="00460D3C" w:rsidRPr="00561E78" w:rsidRDefault="0027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296A74" w:rsidRPr="00561E7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proofErr w:type="gramEnd"/>
          </w:p>
        </w:tc>
      </w:tr>
      <w:tr w:rsidR="00296A74" w:rsidRPr="00561E78" w:rsidTr="00561E78">
        <w:tc>
          <w:tcPr>
            <w:tcW w:w="1975" w:type="dxa"/>
          </w:tcPr>
          <w:p w:rsidR="00296A74" w:rsidRPr="002848FE" w:rsidRDefault="00296A74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CNC Machining</w:t>
            </w:r>
          </w:p>
          <w:p w:rsidR="00296A74" w:rsidRPr="002848FE" w:rsidRDefault="00296A74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Computer Numerical</w:t>
            </w:r>
          </w:p>
          <w:p w:rsidR="00296A74" w:rsidRPr="00561E78" w:rsidRDefault="00296A74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Controlled Machining</w:t>
            </w:r>
          </w:p>
        </w:tc>
        <w:tc>
          <w:tcPr>
            <w:tcW w:w="2970" w:type="dxa"/>
          </w:tcPr>
          <w:p w:rsidR="00296A74" w:rsidRPr="00561E78" w:rsidRDefault="00296A74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>A computer controls the motion of a milling machine as it cuts the surrounding metal or plastic to form the part.  Produces very accurate parts.</w:t>
            </w:r>
          </w:p>
        </w:tc>
        <w:tc>
          <w:tcPr>
            <w:tcW w:w="2250" w:type="dxa"/>
          </w:tcPr>
          <w:p w:rsidR="00296A74" w:rsidRPr="00561E78" w:rsidRDefault="00296A74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Can be used as a “one-off” production part, a functional prototype, or to </w:t>
            </w:r>
            <w:r w:rsidR="005D2B56">
              <w:rPr>
                <w:rFonts w:ascii="Arial" w:hAnsi="Arial" w:cs="Arial"/>
                <w:sz w:val="20"/>
                <w:szCs w:val="20"/>
              </w:rPr>
              <w:t>build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patterns for Rapid </w:t>
            </w:r>
            <w:r w:rsidR="005D2B56">
              <w:rPr>
                <w:rFonts w:ascii="Arial" w:hAnsi="Arial" w:cs="Arial"/>
                <w:sz w:val="20"/>
                <w:szCs w:val="20"/>
              </w:rPr>
              <w:t>T</w:t>
            </w:r>
            <w:r w:rsidRPr="00561E78">
              <w:rPr>
                <w:rFonts w:ascii="Arial" w:hAnsi="Arial" w:cs="Arial"/>
                <w:sz w:val="20"/>
                <w:szCs w:val="20"/>
              </w:rPr>
              <w:t>ooling/Casting</w:t>
            </w:r>
          </w:p>
        </w:tc>
        <w:tc>
          <w:tcPr>
            <w:tcW w:w="1800" w:type="dxa"/>
          </w:tcPr>
          <w:p w:rsidR="00296A74" w:rsidRPr="00561E78" w:rsidRDefault="00073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6A74"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CB3">
              <w:rPr>
                <w:rFonts w:ascii="Arial" w:hAnsi="Arial" w:cs="Arial"/>
                <w:sz w:val="20"/>
                <w:szCs w:val="20"/>
              </w:rPr>
              <w:t>-</w:t>
            </w:r>
            <w:r w:rsidR="00296A74"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weeks</w:t>
            </w:r>
          </w:p>
        </w:tc>
      </w:tr>
      <w:tr w:rsidR="00296A74" w:rsidRPr="00561E78" w:rsidTr="00282F40">
        <w:trPr>
          <w:trHeight w:val="1529"/>
        </w:trPr>
        <w:tc>
          <w:tcPr>
            <w:tcW w:w="1975" w:type="dxa"/>
            <w:tcBorders>
              <w:bottom w:val="single" w:sz="4" w:space="0" w:color="auto"/>
            </w:tcBorders>
          </w:tcPr>
          <w:p w:rsidR="00296A74" w:rsidRPr="00561E78" w:rsidRDefault="00561E7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Reverse</w:t>
            </w:r>
            <w:r w:rsidR="00296A74" w:rsidRP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 Engineering</w:t>
            </w:r>
            <w:r w:rsidR="002848FE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 of product or casting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6A74" w:rsidRPr="00561E78" w:rsidRDefault="00296A74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Digitally </w:t>
            </w:r>
            <w:r w:rsidR="00351743">
              <w:rPr>
                <w:rFonts w:ascii="Arial" w:hAnsi="Arial" w:cs="Arial"/>
                <w:sz w:val="20"/>
                <w:szCs w:val="20"/>
              </w:rPr>
              <w:t>Laser S</w:t>
            </w:r>
            <w:r w:rsidRPr="00561E78">
              <w:rPr>
                <w:rFonts w:ascii="Arial" w:hAnsi="Arial" w:cs="Arial"/>
                <w:sz w:val="20"/>
                <w:szCs w:val="20"/>
              </w:rPr>
              <w:t>can</w:t>
            </w:r>
            <w:r w:rsidR="00351743">
              <w:rPr>
                <w:rFonts w:ascii="Arial" w:hAnsi="Arial" w:cs="Arial"/>
                <w:sz w:val="20"/>
                <w:szCs w:val="20"/>
              </w:rPr>
              <w:t xml:space="preserve"> exterior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B56">
              <w:rPr>
                <w:rFonts w:ascii="Arial" w:hAnsi="Arial" w:cs="Arial"/>
                <w:sz w:val="20"/>
                <w:szCs w:val="20"/>
              </w:rPr>
              <w:t>and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743">
              <w:rPr>
                <w:rFonts w:ascii="Arial" w:hAnsi="Arial" w:cs="Arial"/>
                <w:sz w:val="20"/>
                <w:szCs w:val="20"/>
              </w:rPr>
              <w:t>CT- Scan interior hidden passages for geometric data collection.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Use data to create 3D CAD files </w:t>
            </w:r>
            <w:r w:rsidR="00351743">
              <w:rPr>
                <w:rFonts w:ascii="Arial" w:hAnsi="Arial" w:cs="Arial"/>
                <w:sz w:val="20"/>
                <w:szCs w:val="20"/>
              </w:rPr>
              <w:t>to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be used to make prototype par</w:t>
            </w:r>
            <w:r w:rsidR="00351743">
              <w:rPr>
                <w:rFonts w:ascii="Arial" w:hAnsi="Arial" w:cs="Arial"/>
                <w:sz w:val="20"/>
                <w:szCs w:val="20"/>
              </w:rPr>
              <w:t>ts and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or production tooling.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96A74" w:rsidRPr="00561E78" w:rsidRDefault="00296A74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>Use</w:t>
            </w:r>
            <w:r w:rsidR="005D2B56">
              <w:rPr>
                <w:rFonts w:ascii="Arial" w:hAnsi="Arial" w:cs="Arial"/>
                <w:sz w:val="20"/>
                <w:szCs w:val="20"/>
              </w:rPr>
              <w:t>d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when no 3D </w:t>
            </w:r>
            <w:r w:rsidR="00351743">
              <w:rPr>
                <w:rFonts w:ascii="Arial" w:hAnsi="Arial" w:cs="Arial"/>
                <w:sz w:val="20"/>
                <w:szCs w:val="20"/>
              </w:rPr>
              <w:t>CAD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data is </w:t>
            </w:r>
            <w:r w:rsidR="00561E78" w:rsidRPr="00561E78">
              <w:rPr>
                <w:rFonts w:ascii="Arial" w:hAnsi="Arial" w:cs="Arial"/>
                <w:sz w:val="20"/>
                <w:szCs w:val="20"/>
              </w:rPr>
              <w:t>available.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96A74" w:rsidRPr="00561E78" w:rsidRDefault="00561E78">
            <w:pPr>
              <w:rPr>
                <w:rFonts w:ascii="Arial" w:hAnsi="Arial" w:cs="Arial"/>
                <w:sz w:val="20"/>
                <w:szCs w:val="20"/>
              </w:rPr>
            </w:pPr>
            <w:r w:rsidRPr="00561E78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73CB3">
              <w:rPr>
                <w:rFonts w:ascii="Arial" w:hAnsi="Arial" w:cs="Arial"/>
                <w:sz w:val="20"/>
                <w:szCs w:val="20"/>
              </w:rPr>
              <w:t>-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743">
              <w:rPr>
                <w:rFonts w:ascii="Arial" w:hAnsi="Arial" w:cs="Arial"/>
                <w:sz w:val="20"/>
                <w:szCs w:val="20"/>
              </w:rPr>
              <w:t>2</w:t>
            </w:r>
            <w:r w:rsidRPr="00561E78">
              <w:rPr>
                <w:rFonts w:ascii="Arial" w:hAnsi="Arial" w:cs="Arial"/>
                <w:sz w:val="20"/>
                <w:szCs w:val="20"/>
              </w:rPr>
              <w:t xml:space="preserve"> weeks for </w:t>
            </w:r>
            <w:r w:rsidR="00351743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82F40" w:rsidRPr="00561E78" w:rsidTr="00561E78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F40" w:rsidRPr="00561E78" w:rsidRDefault="00282F40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F40" w:rsidRPr="00561E78" w:rsidRDefault="0028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F40" w:rsidRPr="00561E78" w:rsidRDefault="0028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2F40" w:rsidRPr="00561E78" w:rsidRDefault="00282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78" w:rsidRPr="00561E78" w:rsidTr="000732B4">
        <w:tc>
          <w:tcPr>
            <w:tcW w:w="8995" w:type="dxa"/>
            <w:gridSpan w:val="4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561E78" w:rsidRPr="00273CB3" w:rsidRDefault="00561E7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73C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WWW.pentzcastsolutions.com</w:t>
            </w:r>
          </w:p>
        </w:tc>
      </w:tr>
    </w:tbl>
    <w:p w:rsidR="00460D3C" w:rsidRPr="00561E78" w:rsidRDefault="00460D3C">
      <w:pPr>
        <w:rPr>
          <w:rFonts w:ascii="Arial" w:hAnsi="Arial" w:cs="Arial"/>
        </w:rPr>
      </w:pPr>
    </w:p>
    <w:sectPr w:rsidR="00460D3C" w:rsidRPr="0056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3C"/>
    <w:rsid w:val="000732B4"/>
    <w:rsid w:val="00167121"/>
    <w:rsid w:val="001930BF"/>
    <w:rsid w:val="001D22DD"/>
    <w:rsid w:val="00253D9D"/>
    <w:rsid w:val="00273CB3"/>
    <w:rsid w:val="00282F40"/>
    <w:rsid w:val="002848FE"/>
    <w:rsid w:val="00296A74"/>
    <w:rsid w:val="00330F66"/>
    <w:rsid w:val="00351743"/>
    <w:rsid w:val="00460D3C"/>
    <w:rsid w:val="00561E78"/>
    <w:rsid w:val="005D2B56"/>
    <w:rsid w:val="00BB1466"/>
    <w:rsid w:val="00ED61A5"/>
    <w:rsid w:val="00FA3818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BA04"/>
  <w15:chartTrackingRefBased/>
  <w15:docId w15:val="{5FA95CE3-F281-452F-97F8-205D4553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Pentz</dc:creator>
  <cp:keywords/>
  <dc:description/>
  <cp:lastModifiedBy>Ally Bumgardner</cp:lastModifiedBy>
  <cp:revision>1</cp:revision>
  <dcterms:created xsi:type="dcterms:W3CDTF">2021-12-10T17:51:00Z</dcterms:created>
  <dcterms:modified xsi:type="dcterms:W3CDTF">2021-12-10T17:51:00Z</dcterms:modified>
</cp:coreProperties>
</file>